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pStyle w:val="Title"/>
      </w:pPr>
      <w:r>
        <w:rPr/>
        <w:t xml:space="preserve">Procédure de signalement (Cyber Resilience Act)</w:t>
      </w:r>
    </w:p>
    <w:p>
      <w:pPr>
        <w:pStyle w:val="Normal"/>
      </w:pPr>
      <w:r>
        <w:rPr/>
        <w:t xml:space="preserve">Modèle Vers la Maîtrise, version du 30/10/2026, libre de réutilisation.</w:t>
      </w:r>
    </w:p>
    <w:p>
      <w:pPr>
        <w:pStyle w:val="Normal"/>
      </w:pPr>
      <w:r>
        <w:rPr/>
        <w:t xml:space="preserve">Procédure à adapter. Elle couvre l'article 14 du Cyber Resilience Act (règlement (UE) 2024/2847) : vulnérabilité activement exploitée ou incident grave touchant la sécurité d'un produit. Vérifiez le texte en vigueur avant de l'appliquer.</w:t>
      </w:r>
    </w:p>
    <w:p>
      <w:pPr>
        <w:pStyle w:val="Heading"/>
      </w:pPr>
      <w:r>
        <w:rPr/>
        <w:t xml:space="preserve">1. Champ</w:t>
      </w:r>
    </w:p>
    <w:p>
      <w:pPr>
        <w:pStyle w:val="Normal"/>
      </w:pPr>
      <w:r>
        <w:rPr/>
        <w:t xml:space="preserve">• Entreprise : [nom, État de l'établissement principal]</w:t>
      </w:r>
    </w:p>
    <w:p>
      <w:pPr>
        <w:pStyle w:val="Normal"/>
      </w:pPr>
      <w:r>
        <w:rPr/>
        <w:t xml:space="preserve">• Produits couverts : [nom, versions, pays de vente]</w:t>
      </w:r>
    </w:p>
    <w:p>
      <w:pPr>
        <w:pStyle w:val="Normal"/>
      </w:pPr>
      <w:r>
        <w:rPr/>
        <w:t xml:space="preserve">• CSIRT compétent : [CERT-FR pour un établissement principal en France]</w:t>
      </w:r>
    </w:p>
    <w:p>
      <w:pPr>
        <w:pStyle w:val="Normal"/>
      </w:pPr>
      <w:r>
        <w:rPr/>
        <w:t xml:space="preserve">• Date de la dernière revue : [date]</w:t>
      </w:r>
    </w:p>
    <w:p>
      <w:pPr>
        <w:pStyle w:val="Heading"/>
      </w:pPr>
      <w:r>
        <w:rPr/>
        <w:t xml:space="preserve">2. Rôles</w:t>
      </w:r>
    </w:p>
    <w:tbl>
      <w:tblPr>
        <w:tblW w:w="5000" w:type="pct"/>
        <w:tblBorders>
          <w:top w:val="single" w:sz="4" w:color="A3A3A3"/>
          <w:left w:val="single" w:sz="4" w:color="A3A3A3"/>
          <w:bottom w:val="single" w:sz="4" w:color="A3A3A3"/>
          <w:right w:val="single" w:sz="4" w:color="A3A3A3"/>
          <w:insideH w:val="single" w:sz="4" w:color="A3A3A3"/>
          <w:insideV w:val="single" w:sz="4" w:color="A3A3A3"/>
        </w:tblBorders>
      </w:tblPr>
      <w:tblGrid>
        <w:gridCol w:w="3784"/>
        <w:gridCol w:w="3784"/>
        <w:gridCol w:w="3784"/>
        <w:gridCol w:w="3784"/>
      </w:tblGrid>
      <w:tr>
        <w:trPr>
          <w:cantSplit/>
          <w:tblHeader/>
        </w:trPr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Rôle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Titulaire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Suppléant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Joignable</w:t>
            </w:r>
          </w:p>
        </w:tc>
      </w:tr>
      <w:tr>
        <w:trPr>
          <w:cantSplit/>
        </w:trPr>
        <w:tc>
          <w:tcPr>
            <w:tcW w:w="0" w:type="auto"/>
          </w:tcPr>
          <w:p>
            <w:pPr>
              <w:pStyle w:val="Normal"/>
            </w:pPr>
            <w:r>
              <w:rPr/>
              <w:t xml:space="preserve">reçoit les alertes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[nom]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[nom]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[téléphone, horaires]</w:t>
            </w:r>
          </w:p>
        </w:tc>
      </w:tr>
      <w:tr>
        <w:trPr>
          <w:cantSplit/>
        </w:trPr>
        <w:tc>
          <w:tcPr>
            <w:tcW w:w="0" w:type="auto"/>
          </w:tcPr>
          <w:p>
            <w:pPr>
              <w:pStyle w:val="Normal"/>
            </w:pPr>
            <w:r>
              <w:rPr/>
              <w:t xml:space="preserve">qualifie l'événement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[nom]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[nom]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[téléphone]</w:t>
            </w:r>
          </w:p>
        </w:tc>
      </w:tr>
      <w:tr>
        <w:trPr>
          <w:cantSplit/>
        </w:trPr>
        <w:tc>
          <w:tcPr>
            <w:tcW w:w="0" w:type="auto"/>
          </w:tcPr>
          <w:p>
            <w:pPr>
              <w:pStyle w:val="Normal"/>
            </w:pPr>
            <w:r>
              <w:rPr/>
              <w:t xml:space="preserve">décide de notifier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[nom]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[nom]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[téléphone]</w:t>
            </w:r>
          </w:p>
        </w:tc>
      </w:tr>
      <w:tr>
        <w:trPr>
          <w:cantSplit/>
        </w:trPr>
        <w:tc>
          <w:tcPr>
            <w:tcW w:w="0" w:type="auto"/>
          </w:tcPr>
          <w:p>
            <w:pPr>
              <w:pStyle w:val="Normal"/>
            </w:pPr>
            <w:r>
              <w:rPr/>
              <w:t xml:space="preserve">envoie sur la plateforme de l'ENISA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[nom, compte EU Login prêt : oui / non]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[nom, compte EU Login prêt : oui / non]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[téléphone]</w:t>
            </w:r>
          </w:p>
        </w:tc>
      </w:tr>
      <w:tr>
        <w:trPr>
          <w:cantSplit/>
        </w:trPr>
        <w:tc>
          <w:tcPr>
            <w:tcW w:w="0" w:type="auto"/>
          </w:tcPr>
          <w:p>
            <w:pPr>
              <w:pStyle w:val="Normal"/>
            </w:pPr>
            <w:r>
              <w:rPr/>
              <w:t xml:space="preserve">informe les utilisateurs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[nom]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[nom]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[canal]</w:t>
            </w:r>
          </w:p>
        </w:tc>
      </w:tr>
    </w:tbl>
    <w:p>
      <w:pPr>
        <w:pStyle w:val="Normal"/>
      </w:pPr>
      <w:r>
        <w:rPr/>
        <w:t xml:space="preserve"/>
      </w:r>
    </w:p>
    <w:p>
      <w:pPr>
        <w:pStyle w:val="Heading"/>
      </w:pPr>
      <w:r>
        <w:rPr/>
        <w:t xml:space="preserve">3. Entrées possibles</w:t>
      </w:r>
    </w:p>
    <w:p>
      <w:pPr>
        <w:pStyle w:val="Normal"/>
      </w:pPr>
      <w:r>
        <w:rPr/>
        <w:t xml:space="preserve">• adresse de signalement publiée : [adresse]</w:t>
      </w:r>
    </w:p>
    <w:p>
      <w:pPr>
        <w:pStyle w:val="Normal"/>
      </w:pPr>
      <w:r>
        <w:rPr/>
        <w:t xml:space="preserve">• alerte d'un client, d'un chercheur, d'un fournisseur : [qui transfère, à qui]</w:t>
      </w:r>
    </w:p>
    <w:p>
      <w:pPr>
        <w:pStyle w:val="Normal"/>
      </w:pPr>
      <w:r>
        <w:rPr/>
        <w:t xml:space="preserve">• outil de surveillance : [outil, destinataire des alertes]</w:t>
      </w:r>
    </w:p>
    <w:p>
      <w:pPr>
        <w:pStyle w:val="Heading"/>
      </w:pPr>
      <w:r>
        <w:rPr/>
        <w:t xml:space="preserve">4. Déroulé</w:t>
      </w:r>
    </w:p>
    <w:p>
      <w:pPr>
        <w:pStyle w:val="Normal"/>
      </w:pPr>
      <w:r>
        <w:rPr/>
        <w:t xml:space="preserve">• Noter l'heure du premier signal : [registre ou outil].</w:t>
      </w:r>
    </w:p>
    <w:p>
      <w:pPr>
        <w:pStyle w:val="Normal"/>
      </w:pPr>
      <w:r>
        <w:rPr/>
        <w:t xml:space="preserve">• Qualifier sans attendre : y a-t-il des preuves fiables d'exploitation, ou un incident grave ?</w:t>
      </w:r>
    </w:p>
    <w:p>
      <w:pPr>
        <w:pStyle w:val="Normal"/>
      </w:pPr>
      <w:r>
        <w:rPr/>
        <w:t xml:space="preserve">• Noter l'heure de la conclusion et le nom de la personne qui l'a prise.</w:t>
      </w:r>
    </w:p>
    <w:p>
      <w:pPr>
        <w:pStyle w:val="Normal"/>
      </w:pPr>
      <w:r>
        <w:rPr/>
        <w:t xml:space="preserve">• Si oui, envoyer l'alerte précoce au plus tard 24 heures après la prise de connaissance.</w:t>
      </w:r>
    </w:p>
    <w:p>
      <w:pPr>
        <w:pStyle w:val="Normal"/>
      </w:pPr>
      <w:r>
        <w:rPr/>
        <w:t xml:space="preserve">• Envoyer la notification au plus tard 72 heures après la prise de connaissance.</w:t>
      </w:r>
    </w:p>
    <w:p>
      <w:pPr>
        <w:pStyle w:val="Normal"/>
      </w:pPr>
      <w:r>
        <w:rPr/>
        <w:t xml:space="preserve">• Informer les utilisateurs touchés et leur dire quoi faire : [message type, canal].</w:t>
      </w:r>
    </w:p>
    <w:p>
      <w:pPr>
        <w:pStyle w:val="Normal"/>
      </w:pPr>
      <w:r>
        <w:rPr/>
        <w:t xml:space="preserve">• Envoyer le rapport final : 14 jours au plus tard après la mise à disposition d'un correctif (vulnérabilité), un mois au plus tard après la notification (incident).</w:t>
      </w:r>
    </w:p>
    <w:p>
      <w:pPr>
        <w:pStyle w:val="Normal"/>
      </w:pPr>
      <w:r>
        <w:rPr/>
        <w:t xml:space="preserve">• Si la faille vient d'un composant tiers, prévenir son mainteneur : [contact].</w:t>
      </w:r>
    </w:p>
    <w:p>
      <w:pPr>
        <w:pStyle w:val="Heading"/>
      </w:pPr>
      <w:r>
        <w:rPr/>
        <w:t xml:space="preserve">5. Éléments à garder prêts</w:t>
      </w:r>
    </w:p>
    <w:tbl>
      <w:tblPr>
        <w:tblW w:w="5000" w:type="pct"/>
        <w:tblBorders>
          <w:top w:val="single" w:sz="4" w:color="A3A3A3"/>
          <w:left w:val="single" w:sz="4" w:color="A3A3A3"/>
          <w:bottom w:val="single" w:sz="4" w:color="A3A3A3"/>
          <w:right w:val="single" w:sz="4" w:color="A3A3A3"/>
          <w:insideH w:val="single" w:sz="4" w:color="A3A3A3"/>
          <w:insideV w:val="single" w:sz="4" w:color="A3A3A3"/>
        </w:tblBorders>
      </w:tblPr>
      <w:tblGrid>
        <w:gridCol w:w="7569"/>
        <w:gridCol w:w="7569"/>
      </w:tblGrid>
      <w:tr>
        <w:trPr>
          <w:cantSplit/>
          <w:tblHeader/>
        </w:trPr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Élément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Où le trouver</w:t>
            </w:r>
          </w:p>
        </w:tc>
      </w:tr>
      <w:tr>
        <w:trPr>
          <w:cantSplit/>
        </w:trPr>
        <w:tc>
          <w:tcPr>
            <w:tcW w:w="0" w:type="auto"/>
          </w:tcPr>
          <w:p>
            <w:pPr>
              <w:pStyle w:val="Normal"/>
            </w:pPr>
            <w:r>
              <w:rPr/>
              <w:t xml:space="preserve">liste des produits et des versions vendues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[emplacement]</w:t>
            </w:r>
          </w:p>
        </w:tc>
      </w:tr>
      <w:tr>
        <w:trPr>
          <w:cantSplit/>
        </w:trPr>
        <w:tc>
          <w:tcPr>
            <w:tcW w:w="0" w:type="auto"/>
          </w:tcPr>
          <w:p>
            <w:pPr>
              <w:pStyle w:val="Normal"/>
            </w:pPr>
            <w:r>
              <w:rPr/>
              <w:t xml:space="preserve">États membres où chaque produit est vendu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[emplacement]</w:t>
            </w:r>
          </w:p>
        </w:tc>
      </w:tr>
      <w:tr>
        <w:trPr>
          <w:cantSplit/>
        </w:trPr>
        <w:tc>
          <w:tcPr>
            <w:tcW w:w="0" w:type="auto"/>
          </w:tcPr>
          <w:p>
            <w:pPr>
              <w:pStyle w:val="Normal"/>
            </w:pPr>
            <w:r>
              <w:rPr/>
              <w:t xml:space="preserve">SBOM de chaque version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[emplacement]</w:t>
            </w:r>
          </w:p>
        </w:tc>
      </w:tr>
      <w:tr>
        <w:trPr>
          <w:cantSplit/>
        </w:trPr>
        <w:tc>
          <w:tcPr>
            <w:tcW w:w="0" w:type="auto"/>
          </w:tcPr>
          <w:p>
            <w:pPr>
              <w:pStyle w:val="Normal"/>
            </w:pPr>
            <w:r>
              <w:rPr/>
              <w:t xml:space="preserve">coordonnées de l'entreprise et des contacts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[emplacement]</w:t>
            </w:r>
          </w:p>
        </w:tc>
      </w:tr>
      <w:tr>
        <w:trPr>
          <w:cantSplit/>
        </w:trPr>
        <w:tc>
          <w:tcPr>
            <w:tcW w:w="0" w:type="auto"/>
          </w:tcPr>
          <w:p>
            <w:pPr>
              <w:pStyle w:val="Normal"/>
            </w:pPr>
            <w:r>
              <w:rPr/>
              <w:t xml:space="preserve">message type aux utilisateurs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[emplacement]</w:t>
            </w:r>
          </w:p>
        </w:tc>
      </w:tr>
    </w:tbl>
    <w:p>
      <w:pPr>
        <w:pStyle w:val="Normal"/>
      </w:pPr>
      <w:r>
        <w:rPr/>
        <w:t xml:space="preserve"/>
      </w:r>
    </w:p>
    <w:p>
      <w:pPr>
        <w:pStyle w:val="Heading"/>
      </w:pPr>
      <w:r>
        <w:rPr/>
        <w:t xml:space="preserve">6. Trace</w:t>
      </w:r>
    </w:p>
    <w:tbl>
      <w:tblPr>
        <w:tblW w:w="5000" w:type="pct"/>
        <w:tblBorders>
          <w:top w:val="single" w:sz="4" w:color="A3A3A3"/>
          <w:left w:val="single" w:sz="4" w:color="A3A3A3"/>
          <w:bottom w:val="single" w:sz="4" w:color="A3A3A3"/>
          <w:right w:val="single" w:sz="4" w:color="A3A3A3"/>
          <w:insideH w:val="single" w:sz="4" w:color="A3A3A3"/>
          <w:insideV w:val="single" w:sz="4" w:color="A3A3A3"/>
        </w:tblBorders>
      </w:tblPr>
      <w:tblGrid>
        <w:gridCol w:w="2162"/>
        <w:gridCol w:w="2162"/>
        <w:gridCol w:w="2162"/>
        <w:gridCol w:w="2162"/>
        <w:gridCol w:w="2162"/>
        <w:gridCol w:w="2162"/>
        <w:gridCol w:w="2162"/>
      </w:tblGrid>
      <w:tr>
        <w:trPr>
          <w:cantSplit/>
          <w:tblHeader/>
        </w:trPr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Date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Événement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Premier signal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Conclusion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Alerte 24 h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Notification 72 h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Rapport final</w:t>
            </w:r>
          </w:p>
        </w:tc>
      </w:tr>
      <w:tr>
        <w:trPr>
          <w:cantSplit/>
        </w:trPr>
        <w:tc>
          <w:tcPr>
            <w:tcW w:w="0" w:type="auto"/>
          </w:tcPr>
          <w:p>
            <w:pPr>
              <w:pStyle w:val="Normal"/>
            </w:pPr>
            <w:r>
              <w:rPr/>
              <w:t xml:space="preserve">[date]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[résumé]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[heure]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[heure, nom]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[heure]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[heure]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[date]</w:t>
            </w:r>
          </w:p>
        </w:tc>
      </w:tr>
    </w:tbl>
    <w:p>
      <w:pPr>
        <w:pStyle w:val="Normal"/>
      </w:pPr>
      <w:r>
        <w:rPr/>
        <w:t xml:space="preserve"/>
      </w:r>
    </w:p>
    <w:p>
      <w:pPr>
        <w:pStyle w:val="Heading"/>
      </w:pPr>
      <w:r>
        <w:rPr/>
        <w:t xml:space="preserve">7. Exercice</w:t>
      </w:r>
    </w:p>
    <w:p>
      <w:pPr>
        <w:pStyle w:val="Normal"/>
      </w:pPr>
      <w:r>
        <w:rPr/>
        <w:t xml:space="preserve">• Fréquence choisie : [par exemple une fois par an]</w:t>
      </w:r>
    </w:p>
    <w:p>
      <w:pPr>
        <w:pStyle w:val="Normal"/>
      </w:pPr>
      <w:r>
        <w:rPr/>
        <w:t xml:space="preserve">• Dernier exercice : [date, durée de l'alerte reçue à l'alerte précoce envoyée]</w:t>
      </w:r>
    </w:p>
    <w:p>
      <w:pPr>
        <w:pStyle w:val="Normal"/>
      </w:pPr>
      <w:r>
        <w:rPr/>
        <w:t xml:space="preserve">• Améliorations décidées : [liste]</w:t>
      </w:r>
    </w:p>
    <w:sectPr>
      <w:pgSz w:w="16838" w:h="11906" w:orient="landscape"/>
      <w:pgMar w:top="850" w:right="850" w:bottom="850" w:left="8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  <w:lang w:val="fr-FR"/>
      </w:rPr>
    </w:rPrDefault>
    <w:pPrDefault>
      <w:pPr>
        <w:spacing w:after="120"/>
      </w:pPr>
    </w:pPrDefault>
  </w:docDefaults>
  <w:style w:type="paragraph" w:default="1" w:styleId="Normal">
    <w:name w:val="Normal"/>
  </w:style>
  <w:style w:type="paragraph" w:styleId="Title">
    <w:name w:val="Title"/>
    <w:pPr>
      <w:keepNext/>
    </w:pPr>
    <w:rPr>
      <w:b/>
      <w:sz w:val="36"/>
    </w:rPr>
  </w:style>
  <w:style w:type="paragraph" w:styleId="Heading">
    <w:name w:val="Heading"/>
    <w:pPr>
      <w:keepNext/>
      <w:spacing w:before="240"/>
    </w:pPr>
    <w:rPr>
      <w:b/>
      <w:sz w:val="26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/Relationships>
</file>